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55560" w14:textId="3124D194" w:rsidR="00657039" w:rsidRDefault="00657039" w:rsidP="00C37C24">
      <w:pPr>
        <w:tabs>
          <w:tab w:val="right" w:pos="9639"/>
        </w:tabs>
        <w:spacing w:after="0"/>
        <w:outlineLvl w:val="0"/>
        <w:rPr>
          <w:rFonts w:ascii="Arial" w:eastAsia="Malgun Gothic" w:hAnsi="Arial"/>
          <w:b/>
          <w:sz w:val="24"/>
        </w:rPr>
      </w:pPr>
      <w:r>
        <w:rPr>
          <w:rFonts w:ascii="Arial" w:eastAsia="Malgun Gothic" w:hAnsi="Arial"/>
          <w:b/>
          <w:sz w:val="24"/>
        </w:rPr>
        <w:t>3GPP TSG CT WG3 Meeting #144</w:t>
      </w:r>
      <w:r>
        <w:rPr>
          <w:rFonts w:ascii="Arial" w:eastAsia="Malgun Gothic" w:hAnsi="Arial"/>
          <w:b/>
          <w:sz w:val="24"/>
        </w:rPr>
        <w:tab/>
      </w:r>
      <w:r w:rsidR="00E85253" w:rsidRPr="00C86B20">
        <w:rPr>
          <w:rFonts w:ascii="Arial" w:eastAsia="Malgun Gothic" w:hAnsi="Arial" w:cs="Arial"/>
          <w:b/>
          <w:bCs/>
          <w:i/>
          <w:sz w:val="28"/>
        </w:rPr>
        <w:t>C3-255055</w:t>
      </w:r>
    </w:p>
    <w:p w14:paraId="4BE90E94" w14:textId="77777777" w:rsidR="00657039" w:rsidRPr="004C602E" w:rsidRDefault="00657039" w:rsidP="00657039">
      <w:pPr>
        <w:spacing w:after="120"/>
        <w:outlineLvl w:val="0"/>
        <w:rPr>
          <w:rFonts w:ascii="Arial" w:eastAsia="Times New Roman" w:hAnsi="Arial"/>
          <w:b/>
          <w:sz w:val="24"/>
        </w:rPr>
      </w:pPr>
      <w:r>
        <w:rPr>
          <w:rFonts w:ascii="Arial" w:eastAsia="Times New Roman" w:hAnsi="Arial"/>
          <w:b/>
          <w:sz w:val="24"/>
        </w:rPr>
        <w:t>Dallas</w:t>
      </w:r>
      <w:r w:rsidRPr="004C602E">
        <w:rPr>
          <w:rFonts w:ascii="Arial" w:eastAsia="Times New Roman" w:hAnsi="Arial"/>
          <w:b/>
          <w:sz w:val="24"/>
        </w:rPr>
        <w:t xml:space="preserve">, </w:t>
      </w:r>
      <w:r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1DFFB369" w:rsidR="001E41F3" w:rsidRPr="00052B79" w:rsidRDefault="00E85253" w:rsidP="00052B79">
            <w:pPr>
              <w:pStyle w:val="CRCoverPage"/>
              <w:spacing w:after="0"/>
              <w:jc w:val="center"/>
              <w:rPr>
                <w:rFonts w:cs="Arial"/>
                <w:b/>
                <w:sz w:val="28"/>
              </w:rPr>
            </w:pPr>
            <w:r>
              <w:rPr>
                <w:rFonts w:cs="Arial"/>
                <w:b/>
                <w:sz w:val="28"/>
              </w:rPr>
              <w:t>0110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64FAADF6" w:rsidR="001E41F3" w:rsidRPr="004C602E" w:rsidRDefault="00B76387" w:rsidP="008C2727">
            <w:pPr>
              <w:pStyle w:val="CRCoverPage"/>
              <w:spacing w:after="0"/>
              <w:rPr>
                <w:lang w:eastAsia="zh-CN"/>
              </w:rPr>
            </w:pPr>
            <w:r>
              <w:t xml:space="preserve">BDT resource </w:t>
            </w:r>
            <w:r w:rsidR="006764B1">
              <w:t>delete</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4A57686" w14:textId="379CF7FC" w:rsidR="003567AA" w:rsidRDefault="00B14D78" w:rsidP="003567AA">
            <w:pPr>
              <w:pStyle w:val="CRCoverPage"/>
              <w:spacing w:after="0"/>
              <w:rPr>
                <w:noProof/>
              </w:rPr>
            </w:pPr>
            <w:r>
              <w:rPr>
                <w:noProof/>
              </w:rPr>
              <w:t xml:space="preserve">TS 29.554 does not define how </w:t>
            </w:r>
            <w:r w:rsidR="00FA6D38" w:rsidRPr="0018365C">
              <w:rPr>
                <w:noProof/>
              </w:rPr>
              <w:t>Individual BDT policy</w:t>
            </w:r>
            <w:r w:rsidR="00FA6D38">
              <w:rPr>
                <w:noProof/>
              </w:rPr>
              <w:t xml:space="preserve"> </w:t>
            </w:r>
            <w:r>
              <w:rPr>
                <w:noProof/>
              </w:rPr>
              <w:t>resource can be removed and when the associated data stored in UDR can be deleted.</w:t>
            </w:r>
          </w:p>
          <w:p w14:paraId="708AA7DE" w14:textId="3F86F04B" w:rsidR="00B14D78" w:rsidRPr="004C602E" w:rsidRDefault="00B14D78" w:rsidP="003567AA">
            <w:pPr>
              <w:pStyle w:val="CRCoverPage"/>
              <w:spacing w:after="0"/>
              <w:rPr>
                <w:noProof/>
              </w:rPr>
            </w:pPr>
            <w:r>
              <w:rPr>
                <w:noProof/>
              </w:rPr>
              <w:t xml:space="preserve">As all Background Data Transfer policies have a time window associated, they are not </w:t>
            </w:r>
            <w:r w:rsidR="006E7E84">
              <w:rPr>
                <w:noProof/>
              </w:rPr>
              <w:t>valid once the window end time has expired and hence can be removed.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1CB0C66B" w:rsidR="003555F7" w:rsidRPr="004C602E" w:rsidRDefault="003567AA" w:rsidP="006E7E84">
            <w:pPr>
              <w:pStyle w:val="CRCoverPage"/>
              <w:spacing w:after="0"/>
            </w:pPr>
            <w:r>
              <w:rPr>
                <w:noProof/>
              </w:rPr>
              <w:t xml:space="preserve">Introduce </w:t>
            </w:r>
            <w:r w:rsidR="006E7E84">
              <w:rPr>
                <w:noProof/>
              </w:rPr>
              <w:t xml:space="preserve">a note in the Service Operations chapter to state the </w:t>
            </w:r>
            <w:r w:rsidR="006E7E84" w:rsidRPr="0018365C">
              <w:rPr>
                <w:noProof/>
              </w:rPr>
              <w:t>Individual BDT policy</w:t>
            </w:r>
            <w:r w:rsidR="006E7E84">
              <w:rPr>
                <w:noProof/>
              </w:rPr>
              <w:t xml:space="preserve"> resource and its associated data stored in UDR can be deleted when the </w:t>
            </w:r>
            <w:r w:rsidR="006E7E84" w:rsidRPr="006E7E84">
              <w:rPr>
                <w:noProof/>
              </w:rPr>
              <w:t>last window end time in its transfer policies expires</w:t>
            </w:r>
            <w:r w:rsidR="006E7E84">
              <w:rPr>
                <w:noProof/>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BB064" w:rsidR="00F44AD1" w:rsidRPr="004C602E" w:rsidRDefault="006E7E84" w:rsidP="00E41CFE">
            <w:pPr>
              <w:pStyle w:val="CRCoverPage"/>
              <w:spacing w:after="0"/>
              <w:rPr>
                <w:lang w:eastAsia="zh-CN"/>
              </w:rPr>
            </w:pPr>
            <w:r>
              <w:rPr>
                <w:noProof/>
              </w:rPr>
              <w:t>Removal of Individual BDT Policies is not specified</w:t>
            </w:r>
            <w:r w:rsidR="003567AA">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6D1E21E" w:rsidR="001E41F3" w:rsidRPr="004C602E" w:rsidRDefault="003567AA" w:rsidP="00FF17F4">
            <w:pPr>
              <w:pStyle w:val="CRCoverPage"/>
              <w:spacing w:after="0"/>
              <w:rPr>
                <w:lang w:eastAsia="zh-CN"/>
              </w:rPr>
            </w:pPr>
            <w:r>
              <w:rPr>
                <w:lang w:eastAsia="zh-CN"/>
              </w:rPr>
              <w:t>4.2.1</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12FFC743" w:rsidR="00300627" w:rsidRPr="004C602E" w:rsidRDefault="00AB745A" w:rsidP="00D629A2">
            <w:pPr>
              <w:pStyle w:val="CRCoverPage"/>
              <w:spacing w:after="0"/>
              <w:ind w:left="100"/>
            </w:pPr>
            <w:r w:rsidRPr="00F67454">
              <w:rPr>
                <w:noProof/>
              </w:rPr>
              <w:t>This CR does not impact the OpenAPI file</w:t>
            </w:r>
            <w:r>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t xml:space="preserve">*** </w:t>
      </w:r>
      <w:r w:rsidR="00965158" w:rsidRPr="004C602E">
        <w:rPr>
          <w:color w:val="0000FF"/>
          <w:sz w:val="28"/>
          <w:szCs w:val="28"/>
        </w:rPr>
        <w:t>1st</w:t>
      </w:r>
      <w:r w:rsidRPr="004C602E">
        <w:rPr>
          <w:color w:val="0000FF"/>
          <w:sz w:val="28"/>
          <w:szCs w:val="28"/>
        </w:rPr>
        <w:t xml:space="preserve"> Change ***</w:t>
      </w:r>
    </w:p>
    <w:p w14:paraId="0A649D33" w14:textId="6216C1C3" w:rsidR="00745411" w:rsidRPr="0018365C" w:rsidRDefault="00745411" w:rsidP="00745411">
      <w:pPr>
        <w:pStyle w:val="Heading3"/>
        <w:rPr>
          <w:noProof/>
          <w:lang w:eastAsia="zh-CN"/>
        </w:rPr>
      </w:pPr>
      <w:bookmarkStart w:id="17" w:name="_Toc20407942"/>
      <w:bookmarkStart w:id="18" w:name="_Toc24719940"/>
      <w:bookmarkStart w:id="19" w:name="_Toc36041288"/>
      <w:bookmarkStart w:id="20" w:name="_Toc36041369"/>
      <w:bookmarkStart w:id="21" w:name="_Toc36041452"/>
      <w:bookmarkStart w:id="22" w:name="_Toc45134589"/>
      <w:bookmarkStart w:id="23" w:name="_Toc59019614"/>
      <w:bookmarkStart w:id="24" w:name="_Toc209520348"/>
      <w:bookmarkStart w:id="25"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w:t>
      </w:r>
      <w:r w:rsidRPr="0018365C">
        <w:rPr>
          <w:noProof/>
          <w:lang w:eastAsia="zh-CN"/>
        </w:rPr>
        <w:t>2</w:t>
      </w:r>
      <w:r w:rsidRPr="0018365C">
        <w:rPr>
          <w:noProof/>
        </w:rPr>
        <w:t>.1</w:t>
      </w:r>
      <w:r w:rsidRPr="0018365C">
        <w:rPr>
          <w:noProof/>
        </w:rPr>
        <w:tab/>
        <w:t>Introduction</w:t>
      </w:r>
      <w:bookmarkEnd w:id="17"/>
      <w:bookmarkEnd w:id="18"/>
      <w:bookmarkEnd w:id="19"/>
      <w:bookmarkEnd w:id="20"/>
      <w:bookmarkEnd w:id="21"/>
      <w:bookmarkEnd w:id="22"/>
      <w:bookmarkEnd w:id="23"/>
      <w:bookmarkEnd w:id="24"/>
    </w:p>
    <w:p w14:paraId="50EF6340" w14:textId="77777777" w:rsidR="00745411" w:rsidRPr="0018365C" w:rsidRDefault="00745411" w:rsidP="00745411">
      <w:pPr>
        <w:pStyle w:val="TH"/>
        <w:rPr>
          <w:noProof/>
        </w:rPr>
      </w:pPr>
      <w:r w:rsidRPr="0018365C">
        <w:rPr>
          <w:noProof/>
        </w:rPr>
        <w:t>Table</w:t>
      </w:r>
      <w:r w:rsidRPr="0018365C">
        <w:rPr>
          <w:noProof/>
          <w:lang w:eastAsia="zh-CN"/>
        </w:rPr>
        <w:t> 4.2.1</w:t>
      </w:r>
      <w:r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745411" w:rsidRPr="0018365C" w14:paraId="034324BD" w14:textId="77777777" w:rsidTr="00B63009">
        <w:trPr>
          <w:cantSplit/>
          <w:tblHeader/>
          <w:jc w:val="center"/>
        </w:trPr>
        <w:tc>
          <w:tcPr>
            <w:tcW w:w="3047" w:type="dxa"/>
            <w:shd w:val="clear" w:color="auto" w:fill="C0C0C0"/>
            <w:hideMark/>
          </w:tcPr>
          <w:p w14:paraId="0ABF7129" w14:textId="77777777" w:rsidR="00745411" w:rsidRPr="0018365C" w:rsidRDefault="00745411" w:rsidP="00B63009">
            <w:pPr>
              <w:pStyle w:val="TAH"/>
              <w:rPr>
                <w:noProof/>
              </w:rPr>
            </w:pPr>
            <w:r w:rsidRPr="0018365C">
              <w:rPr>
                <w:noProof/>
              </w:rPr>
              <w:t>Service operation name</w:t>
            </w:r>
          </w:p>
        </w:tc>
        <w:tc>
          <w:tcPr>
            <w:tcW w:w="4583" w:type="dxa"/>
            <w:shd w:val="clear" w:color="auto" w:fill="C0C0C0"/>
            <w:hideMark/>
          </w:tcPr>
          <w:p w14:paraId="6D64DC60" w14:textId="77777777" w:rsidR="00745411" w:rsidRPr="0018365C" w:rsidRDefault="00745411" w:rsidP="00B63009">
            <w:pPr>
              <w:pStyle w:val="TAH"/>
              <w:rPr>
                <w:noProof/>
              </w:rPr>
            </w:pPr>
            <w:r w:rsidRPr="0018365C">
              <w:rPr>
                <w:noProof/>
              </w:rPr>
              <w:t>Description</w:t>
            </w:r>
          </w:p>
        </w:tc>
        <w:tc>
          <w:tcPr>
            <w:tcW w:w="1985" w:type="dxa"/>
            <w:shd w:val="clear" w:color="auto" w:fill="C0C0C0"/>
            <w:hideMark/>
          </w:tcPr>
          <w:p w14:paraId="51674EB4" w14:textId="77777777" w:rsidR="00745411" w:rsidRPr="0018365C" w:rsidRDefault="00745411" w:rsidP="00B63009">
            <w:pPr>
              <w:pStyle w:val="TAH"/>
              <w:rPr>
                <w:noProof/>
              </w:rPr>
            </w:pPr>
            <w:r w:rsidRPr="0018365C">
              <w:rPr>
                <w:noProof/>
              </w:rPr>
              <w:t>Initiated by</w:t>
            </w:r>
          </w:p>
        </w:tc>
      </w:tr>
      <w:tr w:rsidR="00745411" w:rsidRPr="0018365C" w14:paraId="125FB307" w14:textId="77777777" w:rsidTr="00B63009">
        <w:trPr>
          <w:cantSplit/>
          <w:jc w:val="center"/>
        </w:trPr>
        <w:tc>
          <w:tcPr>
            <w:tcW w:w="3047" w:type="dxa"/>
            <w:hideMark/>
          </w:tcPr>
          <w:p w14:paraId="41E515DD" w14:textId="77777777" w:rsidR="00745411" w:rsidRPr="0018365C" w:rsidRDefault="00745411" w:rsidP="00B63009">
            <w:pPr>
              <w:pStyle w:val="TAL"/>
              <w:rPr>
                <w:noProof/>
              </w:rPr>
            </w:pPr>
            <w:r w:rsidRPr="0018365C">
              <w:rPr>
                <w:noProof/>
              </w:rPr>
              <w:t>Npcf_BDTPolicyControl_Create</w:t>
            </w:r>
          </w:p>
        </w:tc>
        <w:tc>
          <w:tcPr>
            <w:tcW w:w="4583" w:type="dxa"/>
            <w:hideMark/>
          </w:tcPr>
          <w:p w14:paraId="0C84A9C4" w14:textId="77777777" w:rsidR="00745411" w:rsidRPr="0018365C" w:rsidRDefault="00745411" w:rsidP="00B63009">
            <w:pPr>
              <w:pStyle w:val="TAL"/>
              <w:rPr>
                <w:noProof/>
              </w:rPr>
            </w:pPr>
            <w:r>
              <w:rPr>
                <w:noProof/>
              </w:rPr>
              <w:t>Creates a background data transfer policy based on the service requirements received from the NF service consumer.</w:t>
            </w:r>
          </w:p>
        </w:tc>
        <w:tc>
          <w:tcPr>
            <w:tcW w:w="1985" w:type="dxa"/>
            <w:hideMark/>
          </w:tcPr>
          <w:p w14:paraId="58716C97" w14:textId="77777777" w:rsidR="00745411" w:rsidRPr="0018365C" w:rsidRDefault="00745411" w:rsidP="00B63009">
            <w:pPr>
              <w:pStyle w:val="TAL"/>
              <w:rPr>
                <w:noProof/>
              </w:rPr>
            </w:pPr>
            <w:r w:rsidRPr="0018365C">
              <w:rPr>
                <w:noProof/>
              </w:rPr>
              <w:t>NF service consumer (e.g. NEF)</w:t>
            </w:r>
          </w:p>
        </w:tc>
      </w:tr>
      <w:tr w:rsidR="00745411" w:rsidRPr="0018365C" w14:paraId="3D70DAF0" w14:textId="77777777" w:rsidTr="00B63009">
        <w:trPr>
          <w:cantSplit/>
          <w:jc w:val="center"/>
        </w:trPr>
        <w:tc>
          <w:tcPr>
            <w:tcW w:w="3047" w:type="dxa"/>
            <w:hideMark/>
          </w:tcPr>
          <w:p w14:paraId="7C63C2AB" w14:textId="77777777" w:rsidR="00745411" w:rsidRPr="0018365C" w:rsidRDefault="00745411" w:rsidP="00B63009">
            <w:pPr>
              <w:pStyle w:val="TAL"/>
              <w:rPr>
                <w:noProof/>
              </w:rPr>
            </w:pPr>
            <w:r w:rsidRPr="0018365C">
              <w:rPr>
                <w:noProof/>
              </w:rPr>
              <w:t>Npcf_BDTPolicyControl_Update</w:t>
            </w:r>
          </w:p>
        </w:tc>
        <w:tc>
          <w:tcPr>
            <w:tcW w:w="4583" w:type="dxa"/>
            <w:hideMark/>
          </w:tcPr>
          <w:p w14:paraId="1A3023FE" w14:textId="77777777" w:rsidR="00745411" w:rsidRPr="0018365C" w:rsidRDefault="00745411" w:rsidP="00B63009">
            <w:pPr>
              <w:pStyle w:val="TAL"/>
              <w:rPr>
                <w:noProof/>
              </w:rPr>
            </w:pPr>
            <w:r w:rsidRPr="0018365C">
              <w:rPr>
                <w:noProof/>
              </w:rPr>
              <w:t>Updates the PCF with the background data transfer policy selected by the NF service consumer.</w:t>
            </w:r>
          </w:p>
        </w:tc>
        <w:tc>
          <w:tcPr>
            <w:tcW w:w="1985" w:type="dxa"/>
            <w:hideMark/>
          </w:tcPr>
          <w:p w14:paraId="43E18324" w14:textId="77777777" w:rsidR="00745411" w:rsidRPr="0018365C" w:rsidRDefault="00745411" w:rsidP="00B63009">
            <w:pPr>
              <w:pStyle w:val="TAL"/>
              <w:rPr>
                <w:noProof/>
              </w:rPr>
            </w:pPr>
            <w:r w:rsidRPr="0018365C">
              <w:rPr>
                <w:noProof/>
              </w:rPr>
              <w:t>NF service consumer (e.g. NEF)</w:t>
            </w:r>
          </w:p>
        </w:tc>
      </w:tr>
      <w:tr w:rsidR="00745411" w:rsidRPr="0018365C" w14:paraId="267CDE5A" w14:textId="77777777" w:rsidTr="00B63009">
        <w:trPr>
          <w:cantSplit/>
          <w:jc w:val="center"/>
        </w:trPr>
        <w:tc>
          <w:tcPr>
            <w:tcW w:w="3047" w:type="dxa"/>
          </w:tcPr>
          <w:p w14:paraId="2D8C0161" w14:textId="77777777" w:rsidR="00745411" w:rsidRPr="0018365C" w:rsidRDefault="00745411" w:rsidP="00B63009">
            <w:pPr>
              <w:pStyle w:val="TAL"/>
              <w:rPr>
                <w:noProof/>
              </w:rPr>
            </w:pPr>
            <w:r w:rsidRPr="0018365C">
              <w:rPr>
                <w:noProof/>
              </w:rPr>
              <w:t>Npcf_BDTPolicyControl_Notify</w:t>
            </w:r>
          </w:p>
        </w:tc>
        <w:tc>
          <w:tcPr>
            <w:tcW w:w="4583" w:type="dxa"/>
          </w:tcPr>
          <w:p w14:paraId="6F1DB80F" w14:textId="77777777" w:rsidR="00745411" w:rsidRPr="0018365C" w:rsidRDefault="00745411" w:rsidP="00B63009">
            <w:pPr>
              <w:pStyle w:val="TAL"/>
              <w:rPr>
                <w:noProof/>
              </w:rPr>
            </w:pPr>
            <w:r w:rsidRPr="0018365C">
              <w:rPr>
                <w:noProof/>
              </w:rPr>
              <w:t>Sends the BDT notification to the NF service consumer.</w:t>
            </w:r>
          </w:p>
        </w:tc>
        <w:tc>
          <w:tcPr>
            <w:tcW w:w="1985" w:type="dxa"/>
          </w:tcPr>
          <w:p w14:paraId="622AFEC6" w14:textId="77777777" w:rsidR="00745411" w:rsidRPr="0018365C" w:rsidRDefault="00745411" w:rsidP="00B63009">
            <w:pPr>
              <w:pStyle w:val="TAL"/>
              <w:rPr>
                <w:noProof/>
              </w:rPr>
            </w:pPr>
            <w:r w:rsidRPr="0018365C">
              <w:rPr>
                <w:noProof/>
              </w:rPr>
              <w:t>PCF</w:t>
            </w:r>
          </w:p>
        </w:tc>
      </w:tr>
    </w:tbl>
    <w:p w14:paraId="067083EF" w14:textId="77777777" w:rsidR="00745411" w:rsidRDefault="00745411" w:rsidP="00326258">
      <w:pPr>
        <w:rPr>
          <w:ins w:id="26" w:author="JuanM_Fernandez_Ericsson" w:date="2025-10-28T11:23:00Z" w16du:dateUtc="2025-10-28T10:23:00Z"/>
        </w:rPr>
      </w:pPr>
    </w:p>
    <w:p w14:paraId="5E203E06" w14:textId="0EBD24EF" w:rsidR="00FB0B35" w:rsidRPr="000A0A5F" w:rsidRDefault="00FB0B35" w:rsidP="00FB0B35">
      <w:pPr>
        <w:pStyle w:val="NO"/>
        <w:rPr>
          <w:ins w:id="27" w:author="JuanM_Fernandez_Ericsson" w:date="2025-10-28T11:23:00Z" w16du:dateUtc="2025-10-28T10:23:00Z"/>
          <w:noProof/>
          <w:lang w:eastAsia="zh-CN"/>
        </w:rPr>
      </w:pPr>
      <w:ins w:id="28" w:author="JuanM_Fernandez_Ericsson" w:date="2025-10-28T11:23:00Z" w16du:dateUtc="2025-10-28T10:23:00Z">
        <w:r w:rsidRPr="000A0A5F">
          <w:rPr>
            <w:noProof/>
            <w:lang w:eastAsia="zh-CN"/>
          </w:rPr>
          <w:t>NOTE:</w:t>
        </w:r>
        <w:r w:rsidRPr="000A0A5F">
          <w:rPr>
            <w:noProof/>
            <w:lang w:eastAsia="zh-CN"/>
          </w:rPr>
          <w:tab/>
          <w:t xml:space="preserve">The </w:t>
        </w:r>
      </w:ins>
      <w:ins w:id="29" w:author="JuanM_Fernandez_Ericsson" w:date="2025-10-28T11:24:00Z" w16du:dateUtc="2025-10-28T10:24:00Z">
        <w:r>
          <w:rPr>
            <w:noProof/>
            <w:lang w:eastAsia="zh-CN"/>
          </w:rPr>
          <w:t>PCF</w:t>
        </w:r>
      </w:ins>
      <w:ins w:id="30" w:author="JuanM_Fernandez_Ericsson" w:date="2025-10-28T11:23:00Z" w16du:dateUtc="2025-10-28T10:23:00Z">
        <w:r w:rsidRPr="000A0A5F">
          <w:rPr>
            <w:noProof/>
            <w:lang w:eastAsia="zh-CN"/>
          </w:rPr>
          <w:t xml:space="preserve"> can remove the </w:t>
        </w:r>
      </w:ins>
      <w:ins w:id="31" w:author="JuanM_Fernandez_Ericsson" w:date="2025-10-28T11:26:00Z" w16du:dateUtc="2025-10-28T10:26:00Z">
        <w:r w:rsidRPr="0018365C">
          <w:rPr>
            <w:noProof/>
          </w:rPr>
          <w:t>background data transfer policy</w:t>
        </w:r>
        <w:r w:rsidRPr="000A0A5F">
          <w:rPr>
            <w:noProof/>
            <w:lang w:eastAsia="zh-CN"/>
          </w:rPr>
          <w:t xml:space="preserve"> </w:t>
        </w:r>
      </w:ins>
      <w:ins w:id="32" w:author="JuanM_Fernandez_Ericsson" w:date="2025-10-28T11:23:00Z" w16du:dateUtc="2025-10-28T10:23:00Z">
        <w:r w:rsidRPr="000A0A5F">
          <w:rPr>
            <w:noProof/>
            <w:lang w:eastAsia="zh-CN"/>
          </w:rPr>
          <w:t xml:space="preserve">resource when the last window end time in </w:t>
        </w:r>
      </w:ins>
      <w:ins w:id="33" w:author="JuanM_Fernandez_Ericsson" w:date="2025-10-28T11:26:00Z" w16du:dateUtc="2025-10-28T10:26:00Z">
        <w:r>
          <w:rPr>
            <w:noProof/>
            <w:lang w:eastAsia="zh-CN"/>
          </w:rPr>
          <w:t>its</w:t>
        </w:r>
      </w:ins>
      <w:ins w:id="34" w:author="JuanM_Fernandez_Ericsson" w:date="2025-10-28T11:25:00Z" w16du:dateUtc="2025-10-28T10:25:00Z">
        <w:r>
          <w:rPr>
            <w:noProof/>
            <w:lang w:eastAsia="zh-CN"/>
          </w:rPr>
          <w:t xml:space="preserve"> </w:t>
        </w:r>
      </w:ins>
      <w:ins w:id="35" w:author="JuanM_Fernandez_Ericsson" w:date="2025-10-28T11:23:00Z" w16du:dateUtc="2025-10-28T10:23:00Z">
        <w:r w:rsidRPr="000A0A5F">
          <w:rPr>
            <w:noProof/>
            <w:lang w:eastAsia="zh-CN"/>
          </w:rPr>
          <w:t xml:space="preserve">transfer policies expires. </w:t>
        </w:r>
      </w:ins>
      <w:ins w:id="36" w:author="JuanM_Fernandez_Ericsson" w:date="2025-10-28T11:29:00Z" w16du:dateUtc="2025-10-28T10:29:00Z">
        <w:r>
          <w:rPr>
            <w:noProof/>
            <w:lang w:eastAsia="zh-CN"/>
          </w:rPr>
          <w:t xml:space="preserve">If </w:t>
        </w:r>
      </w:ins>
      <w:ins w:id="37" w:author="JuanM_Fernandez_Ericsson" w:date="2025-10-28T11:30:00Z" w16du:dateUtc="2025-10-28T10:30:00Z">
        <w:r w:rsidRPr="0018365C">
          <w:rPr>
            <w:noProof/>
          </w:rPr>
          <w:t>the PCF has not locally stored the background transfer policies</w:t>
        </w:r>
        <w:r>
          <w:rPr>
            <w:noProof/>
            <w:lang w:eastAsia="zh-CN"/>
          </w:rPr>
          <w:t xml:space="preserve">, </w:t>
        </w:r>
      </w:ins>
      <w:ins w:id="38" w:author="JuanM_Fernandez_Ericsson" w:date="2025-10-28T11:28:00Z" w16du:dateUtc="2025-10-28T10:28:00Z">
        <w:r w:rsidRPr="0018365C">
          <w:rPr>
            <w:noProof/>
          </w:rPr>
          <w:t xml:space="preserve">the </w:t>
        </w:r>
      </w:ins>
      <w:ins w:id="39" w:author="JuanM_Fernandez_Ericsson" w:date="2025-10-28T11:31:00Z" w16du:dateUtc="2025-10-28T10:31:00Z">
        <w:r>
          <w:rPr>
            <w:noProof/>
          </w:rPr>
          <w:t xml:space="preserve">PCF can invoke the </w:t>
        </w:r>
      </w:ins>
      <w:ins w:id="40" w:author="JuanM_Fernandez_Ericsson" w:date="2025-10-28T11:28:00Z" w16du:dateUtc="2025-10-28T10:28:00Z">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w:t>
        </w:r>
      </w:ins>
      <w:ins w:id="41" w:author="JuanM_Fernandez_Ericsson" w:date="2025-10-28T11:31:00Z" w16du:dateUtc="2025-10-28T10:31:00Z">
        <w:r>
          <w:rPr>
            <w:noProof/>
          </w:rPr>
          <w:t xml:space="preserve"> </w:t>
        </w:r>
        <w:r w:rsidRPr="0018365C">
          <w:rPr>
            <w:noProof/>
          </w:rPr>
          <w:t>to remove the transfer policy from the UDR</w:t>
        </w:r>
      </w:ins>
      <w:ins w:id="42" w:author="JuanM_Fernandez_Ericsson" w:date="2025-10-28T11:28:00Z" w16du:dateUtc="2025-10-28T10:28:00Z">
        <w:r w:rsidRPr="0018365C">
          <w:rPr>
            <w:noProof/>
          </w:rPr>
          <w:t>, as described in 3GPP TS 29.504 [11] and 3GPP TS 29.519 [12] clause 5.2.9.3.3</w:t>
        </w:r>
      </w:ins>
      <w:ins w:id="43" w:author="JuanM_Fernandez_Ericsson" w:date="2025-10-28T11:31:00Z" w16du:dateUtc="2025-10-28T10:31:00Z">
        <w:r>
          <w:rPr>
            <w:noProof/>
            <w:lang w:eastAsia="zh-CN"/>
          </w:rPr>
          <w:t>.</w:t>
        </w:r>
      </w:ins>
      <w:ins w:id="44" w:author="JuanM_Fernandez_Ericsson" w:date="2025-10-28T11:28:00Z" w16du:dateUtc="2025-10-28T10:28:00Z">
        <w:r w:rsidRPr="0018365C">
          <w:rPr>
            <w:noProof/>
            <w:lang w:eastAsia="zh-CN"/>
          </w:rPr>
          <w:t xml:space="preserve"> </w:t>
        </w:r>
      </w:ins>
    </w:p>
    <w:bookmarkEnd w:id="25"/>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DFC24" w14:textId="77777777" w:rsidR="001E2EA6" w:rsidRPr="004C602E" w:rsidRDefault="001E2EA6">
      <w:r w:rsidRPr="004C602E">
        <w:separator/>
      </w:r>
    </w:p>
  </w:endnote>
  <w:endnote w:type="continuationSeparator" w:id="0">
    <w:p w14:paraId="2195CC69" w14:textId="77777777" w:rsidR="001E2EA6" w:rsidRPr="004C602E" w:rsidRDefault="001E2EA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56D17" w14:textId="77777777" w:rsidR="001E2EA6" w:rsidRPr="004C602E" w:rsidRDefault="001E2EA6">
      <w:r w:rsidRPr="004C602E">
        <w:separator/>
      </w:r>
    </w:p>
  </w:footnote>
  <w:footnote w:type="continuationSeparator" w:id="0">
    <w:p w14:paraId="22025C92" w14:textId="77777777" w:rsidR="001E2EA6" w:rsidRPr="004C602E" w:rsidRDefault="001E2EA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2EA6"/>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6258"/>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7039"/>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253"/>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6D38"/>
    <w:rsid w:val="00FA7174"/>
    <w:rsid w:val="00FA7CA1"/>
    <w:rsid w:val="00FB09DF"/>
    <w:rsid w:val="00FB0B35"/>
    <w:rsid w:val="00FB1571"/>
    <w:rsid w:val="00FB6386"/>
    <w:rsid w:val="00FC15BD"/>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2510</TotalTime>
  <Pages>1</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35</cp:revision>
  <cp:lastPrinted>1899-12-31T23:00:00Z</cp:lastPrinted>
  <dcterms:created xsi:type="dcterms:W3CDTF">2025-10-20T12:21:00Z</dcterms:created>
  <dcterms:modified xsi:type="dcterms:W3CDTF">2025-11-10T09:29:00Z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